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19"/>
      </w:tblGrid>
      <w:tr w:rsidR="00E04BCE" w:rsidRPr="00E04BCE" w14:paraId="4BA7FF91" w14:textId="77777777" w:rsidTr="00E04BCE">
        <w:trPr>
          <w:trHeight w:val="621"/>
        </w:trPr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2096" w14:textId="77777777" w:rsidR="00E04BCE" w:rsidRPr="00E04BCE" w:rsidRDefault="00E04BCE" w:rsidP="00E04BC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QUỐC HỘI</w:t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-------</w:t>
            </w:r>
          </w:p>
          <w:p w14:paraId="6D6DE771" w14:textId="77777777" w:rsidR="00E04BCE" w:rsidRPr="00E04BCE" w:rsidRDefault="00E04BCE" w:rsidP="00E04BC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04BCE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Luật</w:t>
            </w:r>
            <w:proofErr w:type="spellEnd"/>
            <w:r w:rsidRPr="00E04BCE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 xml:space="preserve"> s</w:t>
            </w:r>
            <w:r w:rsidRPr="00E04BCE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ố: </w:t>
            </w:r>
            <w:r w:rsidRPr="00E04BCE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14:ligatures w14:val="none"/>
              </w:rPr>
              <w:t>36/2018/QH14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C8CC" w14:textId="77777777" w:rsidR="00E04BCE" w:rsidRPr="00E04BCE" w:rsidRDefault="00E04BCE" w:rsidP="00E04BC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Độc lập - Tự do - Hạnh phúc</w:t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---------------</w:t>
            </w:r>
          </w:p>
        </w:tc>
      </w:tr>
    </w:tbl>
    <w:p w14:paraId="07044621" w14:textId="77777777" w:rsidR="00E04BCE" w:rsidRPr="00E04BCE" w:rsidRDefault="00E04BCE" w:rsidP="00E04BCE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LUẬT</w:t>
      </w:r>
    </w:p>
    <w:p w14:paraId="4A031B68" w14:textId="77777777" w:rsidR="00E04BCE" w:rsidRPr="00E04BCE" w:rsidRDefault="00E04BCE" w:rsidP="00E04BCE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14:ligatures w14:val="none"/>
        </w:rPr>
        <w:t>PHÒNG, CHỐNG THAM NHŨNG</w:t>
      </w:r>
    </w:p>
    <w:p w14:paraId="743F4031" w14:textId="77777777" w:rsidR="00E04BCE" w:rsidRPr="00E04BCE" w:rsidRDefault="00E04BCE" w:rsidP="00E04BCE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val="vi-VN"/>
          <w14:ligatures w14:val="none"/>
        </w:rPr>
        <w:t>Căn cứ Hiến pháp nước Cộng hòa xã hội chủ nghĩa Việt Nam;</w:t>
      </w:r>
    </w:p>
    <w:p w14:paraId="398E88B8" w14:textId="77777777" w:rsidR="00E04BCE" w:rsidRPr="00E04BCE" w:rsidRDefault="00E04BCE" w:rsidP="00E04BCE">
      <w:pPr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val="vi-VN"/>
          <w14:ligatures w14:val="none"/>
        </w:rPr>
        <w:t>Quốc hội ban hành Luật Phòng, chống tham nhũng.</w:t>
      </w:r>
    </w:p>
    <w:p w14:paraId="2C1FCA7E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I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NHỮNG QUY ĐỊNH CHUNG</w:t>
      </w:r>
    </w:p>
    <w:p w14:paraId="5AA820D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1. Phạm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F007C2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2. Các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50A77F7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4D0F06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Tham ô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EA2D3B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7A1E85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chiếm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95AC33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Lợi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A0019F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0F1757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e) Lợi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A345AC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g)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58B6A8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h)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0815AA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) Lợi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phép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D80CF8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k)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nhiễu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1A653B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l)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4E6A65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m) Lợi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che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F88320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2.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6F4B30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Tham ô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485D88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DCFC47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6B045B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thích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dưới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636F8AC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Tham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92C7DC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AE190E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A800F4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Quân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</w:t>
      </w:r>
      <w:proofErr w:type="gram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</w:t>
      </w:r>
      <w:proofErr w:type="gram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DD72D8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vốn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2FB3F6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BBB5F2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E3F339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Tài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9ABE80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máy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2F10DC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4AACF8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6.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nhiễu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đòi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hỏi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7E8636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7.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phi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9396B5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8.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AD6A53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9.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(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gọi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)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,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"https://luatvietnam.vn/noi-dung-thay-doi.html?DocItemId=1100995&amp;DocItemRelateId_Select=79117"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triển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78C2D6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10.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9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7B7ACA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1C6663E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1F13260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CA5B7B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Bảo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C86195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F87C08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5F0E5C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5AC307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9CBA33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4413CF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5. Quyền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75CD7EB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1.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khen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78407C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giúp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F2B458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Tuyên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truyền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4A16CC3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nâng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7A45B9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dưỡng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dưỡng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75A063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43AC864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CA9258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lĩnh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011283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D40E26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Đoàn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D3B79F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DC3CBA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8. Các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nghiêm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cấm</w:t>
      </w:r>
      <w:proofErr w:type="spellEnd"/>
    </w:p>
    <w:p w14:paraId="4B67CED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876981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Đe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dọa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8B4CA7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Lợi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vu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AC7646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4.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che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IX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E64DB2E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II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PHÒNG NGỪA THAM NHŨNG TRONG CƠ QUAN, TỔ CHỨC, ĐƠN VỊ</w:t>
      </w:r>
    </w:p>
    <w:p w14:paraId="4E3939EB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1. CÔNG KHAI, MINH BẠCH VỀ TỔ CHỨC VÀ HOẠT ĐỘNG CỦA CƠ QUAN, TỔ CHỨC, ĐƠN VỊ</w:t>
      </w:r>
    </w:p>
    <w:p w14:paraId="046FCDC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9. Nguyên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bạch</w:t>
      </w:r>
      <w:proofErr w:type="spellEnd"/>
    </w:p>
    <w:p w14:paraId="50362A3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8FED23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2D3EF2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10.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bạch</w:t>
      </w:r>
      <w:proofErr w:type="spellEnd"/>
    </w:p>
    <w:p w14:paraId="4789D30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0D72828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lượng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D07131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375531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700A60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a, b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EEEB8E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còn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739607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</w:p>
    <w:p w14:paraId="6F37C06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8DD085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2967C4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Niêm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22A74E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Thông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1D2A15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ấn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884A35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đ) Thông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37BB39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e)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BA5D0B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g)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345F2E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h) Cung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D842E4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b, c, d, đ, e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chọn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2F059F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bạch</w:t>
      </w:r>
      <w:proofErr w:type="spellEnd"/>
    </w:p>
    <w:p w14:paraId="09B95D5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73D793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dẫn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C60F55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ngôn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chí</w:t>
      </w:r>
      <w:proofErr w:type="spellEnd"/>
    </w:p>
    <w:p w14:paraId="2EB034A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8E12A8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tâm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12A90C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14. Quyền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tin</w:t>
      </w:r>
    </w:p>
    <w:p w14:paraId="4900300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ấn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niêm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do.</w:t>
      </w:r>
    </w:p>
    <w:p w14:paraId="273F564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2.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tin.</w:t>
      </w:r>
    </w:p>
    <w:p w14:paraId="43DEDF6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lượng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82D4FE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15.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trình</w:t>
      </w:r>
      <w:proofErr w:type="spellEnd"/>
    </w:p>
    <w:p w14:paraId="5D602B4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bởi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D6A6B5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vấn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6A4A2D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50757A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5BAD48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16. Báo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5B77E25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Hằng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132C5E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3DFCFE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huyện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huyện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C38346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033F189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69EB25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12CA5E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8E44CE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968160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17.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đánh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79222D5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2F33175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lượng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612195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F62670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D169A1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722EA9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18F0C4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7D612A0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2. XÂY DỰNG VÀ THỰC HIỆN ĐỊNH MỨC, TIÊU CHUẨN, CHẾ ĐỘ TRONG CƠ QUAN, TỔ CHỨC, ĐƠN VỊ</w:t>
      </w:r>
    </w:p>
    <w:p w14:paraId="2A95450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18.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</w:t>
      </w:r>
      <w:proofErr w:type="spellEnd"/>
    </w:p>
    <w:p w14:paraId="3B85697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082BF13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8D1B5E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03C407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2824ED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dẫn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C16F1E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74C2C4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lastRenderedPageBreak/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19.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</w:t>
      </w:r>
      <w:proofErr w:type="spellEnd"/>
    </w:p>
    <w:p w14:paraId="204B5A1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5CBE3F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94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79F5831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phép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phép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phép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AB3466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ý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AA09BAF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3. THỰC HIỆN QUY TẮC ỨNG XỬ CỦA NGƯỜI CÓ CHỨC VỤ, QUYỀN HẠN TRONG CƠ QUAN, TỔ CHỨC, ĐƠN VỊ</w:t>
      </w:r>
    </w:p>
    <w:p w14:paraId="6E81603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20. Quy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hạn</w:t>
      </w:r>
      <w:proofErr w:type="spellEnd"/>
    </w:p>
    <w:p w14:paraId="7455F1E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02F155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952C1B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nhiễu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6DF314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Thành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hữu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B730EF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vấn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81127B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Thành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hữu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lĩnh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52C799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phép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642140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e)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Viên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00695B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con,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ruột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mua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hóa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7AAC3D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góp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vốn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con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D2886B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Thành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"https://luatvietnam.vn/noi-dung-thay-doi.html?DocItemId=1101103&amp;DocItemRelateId_Select=79118"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hữu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con,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ruột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phép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hữu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con,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ruột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gói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con,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ruột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mua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hóa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6C60D3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</w:p>
    <w:p w14:paraId="26F63A9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lĩnh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F33A36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Chánh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B11793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máy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86527E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trị-xã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BB87D5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Tặng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tặng</w:t>
      </w:r>
      <w:proofErr w:type="spellEnd"/>
    </w:p>
    <w:p w14:paraId="0FAE5EA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tặng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tặng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F7329C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tặng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dưới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mọi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015A43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9496FF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ích</w:t>
      </w:r>
      <w:proofErr w:type="spellEnd"/>
    </w:p>
    <w:p w14:paraId="6158B04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270001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DC154B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thấy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đắn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3CDAE35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44F6C2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Đình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5F5B45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sang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E145E1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E69CB08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4. CHUYỂN ĐỔI VỊ TRÍ CÔNG TÁC CỦA NGƯỜI CÓ CHỨC VỤ, QUYỀN HẠN TRONG CƠ QUAN, TỔ CHỨC, ĐƠN VỊ</w:t>
      </w:r>
    </w:p>
    <w:p w14:paraId="0B9EBA5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24. Nguyên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</w:p>
    <w:p w14:paraId="63604E0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09F923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4B8BF4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E8F510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B24420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Quy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1, 2, 3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906083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Quân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7771C7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</w:t>
      </w:r>
      <w:proofErr w:type="gram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</w:t>
      </w:r>
      <w:proofErr w:type="gram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F8C21A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25.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đổi</w:t>
      </w:r>
      <w:proofErr w:type="spellEnd"/>
    </w:p>
    <w:p w14:paraId="0DF3D96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xúc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EE77D0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lĩnh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1B3B1F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5BEE3F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Chánh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73D2E9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26.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</w:p>
    <w:p w14:paraId="6131FE5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Định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5F86B5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63AA081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lastRenderedPageBreak/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5. CẢI CÁCH HÀNH CHÍNH, ỨNG DỤNG KHOA HỌC, CÔNG NGHỆ TRONG QUẢN LÝ VÀ THANH TOÁN KHÔNG DÙNG TIỀN MẶT</w:t>
      </w:r>
    </w:p>
    <w:p w14:paraId="022C3BA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27.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75FA01E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dẫn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hóa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cắt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xúc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3282BF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72BE89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nâng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lượng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A87C43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57F9BD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28.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khoa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học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nghệ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</w:p>
    <w:p w14:paraId="0B8A7ED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nâng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đẩy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khoa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B30E1F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đẩy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lĩnh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D5A5F4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29. Thanh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dùng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mặt</w:t>
      </w:r>
      <w:proofErr w:type="spellEnd"/>
    </w:p>
    <w:p w14:paraId="0F05313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53E7E9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lớn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tầng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98A949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473076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BEFA3C7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6. KIỂM SOÁT TÀI SẢN, THU NHẬP CỦA NGƯỜI CÓ CHỨC VỤ, QUYỀN HẠN TRONG CƠ QUAN, TỔ CHỨC, ĐƠN VỊ</w:t>
      </w:r>
    </w:p>
    <w:p w14:paraId="736AED5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Tiểu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THẨM QUYỀN, TRÁCH NHIỆM CỦA CƠ QUAN, TỔ CHỨC, ĐƠN VỊ, CÁ NHÂN TRONG KIỂM SOÁT TÀI SẢN, THU NHẬP</w:t>
      </w:r>
    </w:p>
    <w:p w14:paraId="681F4F6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30.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14373DD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,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"https://luatvietnam.vn/noi-dung-thay-doi.html?DocItemId=1101155&amp;DocItemRelateId_Select=79119"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(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gọi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64C969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,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"https://luatvietnam.vn/noi-dung-thay-doi.html?DocItemId=1101156&amp;DocItemRelateId_Select=79120"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339A96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,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"https://luatvietnam.vn/noi-dung-thay-doi.html?DocItemId=1101157&amp;DocItemRelateId_Select=79121"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6255F2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giúp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2C09A4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1ECB08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6.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03DE19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7.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10566C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8.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744CE3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05A7D95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134AA64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Quản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(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gọi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1D9649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BF5695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67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0D7496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Cung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E27FF1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đ)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F72B75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7EEFE96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300.000.000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4DA171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DB4C52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AFCC71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E6F316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AC6E0A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b, d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đ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AA6701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Kho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6E2800D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Cung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do;</w:t>
      </w:r>
    </w:p>
    <w:p w14:paraId="0FB639E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CD883D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3. Tiến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94609D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Tiểu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KÊ KHAI TÀI SẢN, THU NHẬP</w:t>
      </w:r>
    </w:p>
    <w:p w14:paraId="0EF5902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33. Nghĩa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7DA7B71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con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62759B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EA9F7E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34.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69994A9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8D04B1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</w:t>
      </w:r>
      <w:proofErr w:type="gram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</w:t>
      </w:r>
      <w:proofErr w:type="gram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Quân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9DE8ED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,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"https://luatvietnam.vn/noi-dung-thay-doi.html?DocItemId=1101188&amp;DocItemRelateId_Select=79122"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vốn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A19EEB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FE8004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35. Tài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</w:p>
    <w:p w14:paraId="725F922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Tài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7771E1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Quyền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gắn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FCA211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Kim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giấy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tờ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mỗi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50.000.000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865175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Tài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93C911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395D85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mẫu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699976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36. Phương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4D518EA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CD96BE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1, 2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2019;</w:t>
      </w:r>
    </w:p>
    <w:p w14:paraId="4C0DB70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1, 2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chậm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533DBF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300.000.000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18A6AB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662C11F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12;</w:t>
      </w:r>
    </w:p>
    <w:p w14:paraId="43B93E5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xúc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12.</w:t>
      </w:r>
    </w:p>
    <w:p w14:paraId="3498754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7D7118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1, 2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chậm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0C977B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C02560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37.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00AA834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287B6B6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gửi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1D406C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dẫn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E1462F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dõi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F2539B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mẫu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gửi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224086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38.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bàn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1B6453D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2F0CD1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mẫu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07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AFA07B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505B44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39. Công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46E2746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898F82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lấy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phiếu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F759EE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E5CF0F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E95C5D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"https://luatvietnam.vn/noi-dung-thay-doi.html?DocItemId=1101223&amp;DocItemRelateId_Select=79123"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lấy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phiếu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2D2CDD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6.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1,2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C2FDF6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40. Theo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dõi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dõi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300.000.000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399C5D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Tiểu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XÁC MINH TÀI SẢN, THU NHẬP</w:t>
      </w:r>
    </w:p>
    <w:p w14:paraId="1D4779A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5A1316D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29603D2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C15DA9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300.000.000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D7027F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2B9859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chọn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ngẫu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246FCC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85C08C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chọn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duyệt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DC993C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49364EA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Khi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a, b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thấy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374E41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6601F3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Chánh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09BB79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0DFC21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Chánh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Chánh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Chánh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3261E8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đ)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86E455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e)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huyện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dưới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967C13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g)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C6C89A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h)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trị-xã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trị-xã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AE91B9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a, b, c, d, đ, e, 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BD34BF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thấy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416F93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006441D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13EED8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62A7F9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44.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276E03F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Ra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29B36C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792646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Tiến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62204D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22105B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7E46A1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6.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Gửi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0C6A17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45.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7F2D2A0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đ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a, b, 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2B2E3B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23D6460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E49925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780515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Họ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0BCB3B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24685A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6818D1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e)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30F75A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g)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(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).</w:t>
      </w:r>
    </w:p>
    <w:p w14:paraId="6320E1D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gửi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F84664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46.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1554404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con,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ruột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vô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C31D9B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7F798AE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4D3C3A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B06770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210FD6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0D6BC6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907712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e)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D8D7B1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Thành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17B77CC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Thu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chỗ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53B390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C06E39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F55ADA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4F400D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47. Quyền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1FD106C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0FDF5D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Cung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9CDAC2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252F71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3DEF94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C0E58F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6.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D78A8D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7.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8F3270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48. Báo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732C7A2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kéo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90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C57F34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251BD57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7D8E95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77C371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3599B8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49.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6FB0A31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kéo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66EB99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40D3EF3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D8BE9E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B98A76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A5B9AA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7499A6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gửi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DB5BDD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041633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50. Công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4788C51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4FF054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39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67B99B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thực</w:t>
      </w:r>
      <w:proofErr w:type="spellEnd"/>
    </w:p>
    <w:p w14:paraId="6EC5D30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xóa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khỏi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63DBEE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9D1C4C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tùy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bậc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còn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khỏi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xin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F77528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FA6A4B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Tiểu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4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CƠ SỞ DỮ LIỆU QUỐC GIA VỀ KIỂM SOÁT TÀI SẢN, THU NHẬP</w:t>
      </w:r>
    </w:p>
    <w:p w14:paraId="5709006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0F62458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812A73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EA5818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7E68149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79EB46F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20F393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dẫn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D13D79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D41998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Cung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8ACF28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DE09D9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D0BDDA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B42A03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60A1ED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Cung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D4D564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AF2A7A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54. Bảo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lưu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trữ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nhập</w:t>
      </w:r>
      <w:proofErr w:type="spellEnd"/>
    </w:p>
    <w:p w14:paraId="2A1743D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gram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</w:t>
      </w:r>
      <w:proofErr w:type="gram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lâu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9920DC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3269AF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Văn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B1437F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1B31190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III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PHÁT HIỆN THAM NHŨNG TRONG CƠ QUAN, TỔ CHỨC, ĐƠN VỊ</w:t>
      </w:r>
    </w:p>
    <w:p w14:paraId="6DB58233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1. CÔNG TÁC KIỂM TRA VÀ TỰ KIỂM TRA CỦA CƠ QUAN, TỔ CHỨC, ĐƠN VỊ</w:t>
      </w:r>
    </w:p>
    <w:p w14:paraId="6750C3E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55. Công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</w:p>
    <w:p w14:paraId="20786BF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6D347B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2. Khi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272EE8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56. Công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</w:p>
    <w:p w14:paraId="7E36847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C84C2F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C39443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Khi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BF9F54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57.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</w:p>
    <w:p w14:paraId="5F445B3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nhiễu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C6C61C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tùy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4F0522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58.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</w:p>
    <w:p w14:paraId="528D99B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lĩnh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dễ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D4E9D4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BF4958A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2. PHÁT HIỆN THAM NHŨNG THÔNG QUA HOẠT ĐỘNG GIÁM SÁT, THANH TRA, KIỂM TOÁN</w:t>
      </w:r>
    </w:p>
    <w:p w14:paraId="2119CCC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59.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qua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cử</w:t>
      </w:r>
      <w:proofErr w:type="spellEnd"/>
    </w:p>
    <w:p w14:paraId="75D22C6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1.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Đoàn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AFDA4F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Khi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FAF3B4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Khi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081E39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60.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qua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</w:p>
    <w:p w14:paraId="2204042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F20E54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C09823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13D5E14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0F315F7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,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"https://luatvietnam.vn/noi-dung-thay-doi.html?DocItemId=1101359&amp;DocItemRelateId_Select=79124"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ở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427B11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31C2ACC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,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begin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instrText>HYPERLINK "https://luatvietnam.vn/noi-dung-thay-doi.html?DocItemId=1101361&amp;DocItemRelateId_Select=79125"</w:instrTex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separate"/>
      </w:r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A67C52"/>
          <w:kern w:val="0"/>
          <w:sz w:val="26"/>
          <w:szCs w:val="26"/>
          <w:shd w:val="clear" w:color="auto" w:fill="FFF88F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fldChar w:fldCharType="end"/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 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46B494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2E5F8D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B88FD3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lặp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1680DF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qua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1FEC798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khởi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duyệt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DFDE2E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FF611E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63. Công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Báo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3E1AADC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0898EB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Báo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8352A7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64.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</w:p>
    <w:p w14:paraId="0AAB209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thúc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lỗi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tùy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20D7F3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AD65CB0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3. PHẢN ÁNH, TỐ CÁO, BÁO CÁO VỀ HÀNH VI THAM NHŨNG</w:t>
      </w:r>
    </w:p>
    <w:p w14:paraId="4CAEA18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65.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6276BC5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0240D5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22114E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A2CC32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246BAF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66. Báo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5E7E940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lượng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901C0A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Trong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kéo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hậu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347FCD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67. Bảo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4BBC875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AA12BB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417B34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68. Khen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thưởng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khen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C4648F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69.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7F6939B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2D7039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DB23617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IV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CHẾ ĐỘ TRÁCH NHIỆM CỦA NGƯỜI ĐỨNG ĐẦU CƠ QUAN, TỔ CHỨC, ĐƠN VỊ TRONG PHÒNG, CHỐNG THAM NHŨNG</w:t>
      </w:r>
    </w:p>
    <w:p w14:paraId="08D1CF9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70.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7415F6B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4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9A7F93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mẫu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C11A31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72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73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BAB05A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đình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sang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khác</w:t>
      </w:r>
      <w:proofErr w:type="spellEnd"/>
    </w:p>
    <w:p w14:paraId="0B0465A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Khi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sang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thấy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2BD9CC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sang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F344C9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bỏ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bỏ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sang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46B35F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sang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001266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</w:p>
    <w:p w14:paraId="772B450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20461C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lĩnh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D2804B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phụ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</w:p>
    <w:p w14:paraId="53495F6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72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0DEEA5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chịu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72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2D0A3E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92BE93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49FEF0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hậu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6A2A56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xin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8B05EE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hậu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135686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xảy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còn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8F3493A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TRÁCH NHIỆM CỦA XÃ HỘI TRONG PHÒNG, CHỐNG THAM NHŨNG</w:t>
      </w:r>
    </w:p>
    <w:p w14:paraId="384D220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74.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trận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trận</w:t>
      </w:r>
      <w:proofErr w:type="spellEnd"/>
    </w:p>
    <w:p w14:paraId="021FD00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197C295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B4B643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650B93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Cung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1DE835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06287D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Mặt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khen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15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kéo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F01082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lastRenderedPageBreak/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75.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báo</w:t>
      </w:r>
      <w:proofErr w:type="spellEnd"/>
    </w:p>
    <w:p w14:paraId="15A2F65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7D0712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2916B9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FDA315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76.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nghề</w:t>
      </w:r>
      <w:proofErr w:type="spellEnd"/>
    </w:p>
    <w:p w14:paraId="10A39F2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01CEBF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0952BF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5C35B8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77.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gram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Ban</w:t>
      </w:r>
      <w:proofErr w:type="gram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cộng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đồng</w:t>
      </w:r>
      <w:proofErr w:type="spellEnd"/>
    </w:p>
    <w:p w14:paraId="0299F1A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Công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qua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qua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6D8575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49B0C2F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PHÒNG, CHỐNG THAM NHŨNG TRONG DOANH NGHIỆP, TỔ CHỨC KHU VỰC NGOÀI NHÀ NƯỚC</w:t>
      </w:r>
    </w:p>
    <w:p w14:paraId="1B2F2950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1. XÂY DỰNG VĂN HÓA KINH DOANHLÀNH MẠNH, KHÔNG THAM NHŨNG</w:t>
      </w:r>
    </w:p>
    <w:p w14:paraId="7B50AB6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78. Quy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</w:p>
    <w:p w14:paraId="60CCFB0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1. Quy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2C7A07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Khuyến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F63323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79.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0B8B65E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hóa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DD0AED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khuyến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9D09E90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2. ÁP DỤNG LUẬT PHÒNG, CHỐNG THAM NHŨNG ĐỐI VỚI DOANH NGHIỆP, TỔ CHỨC KHU VỰC NGOÀI NHÀ NƯỚC</w:t>
      </w:r>
    </w:p>
    <w:p w14:paraId="635FCB2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80.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</w:p>
    <w:p w14:paraId="6D01BD5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Các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duyệt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góp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76CA479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Nguyên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9,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a, 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10,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92A401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4EA1F3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72,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a, b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73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4BBEE1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8AA179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81. Thanh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</w:p>
    <w:p w14:paraId="4058B66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duyệt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góp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rõ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ràng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80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65A7B7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8403DB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chéo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lặp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38D082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47F66B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</w:p>
    <w:p w14:paraId="06942F1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kịp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DDEFFB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F05B79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III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9613C6D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VII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TRÁCH NHIỆM CỦA CƠ QUAN NHÀ NƯỚC TRONG PHÒNG, CHỐNG THAM NHŨNG</w:t>
      </w:r>
    </w:p>
    <w:p w14:paraId="3258055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75D1384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Trong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an,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669416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Thường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</w:t>
      </w:r>
      <w:proofErr w:type="gram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an</w:t>
      </w:r>
      <w:proofErr w:type="gram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an.</w:t>
      </w:r>
    </w:p>
    <w:p w14:paraId="3EFDFFA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84.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Bộ</w:t>
      </w:r>
      <w:proofErr w:type="spellEnd"/>
    </w:p>
    <w:p w14:paraId="314491C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E99C51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giúp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C2B64A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a)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7C1AF0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Quản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C63FD7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dẫn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12FF0C2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Quản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D830DA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dưỡng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ngũ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7AFFB2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e)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542596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an,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D6C057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ngang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141B035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85.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6B5C21A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883157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7DAAF4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B82E9B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84E0BA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Hằng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52188D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86.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cao</w:t>
      </w:r>
      <w:proofErr w:type="spellEnd"/>
    </w:p>
    <w:p w14:paraId="528A85A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tuân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tin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khởi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khởi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737303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B40825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87.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nhằm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dấu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4D4584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88.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khác</w:t>
      </w:r>
      <w:proofErr w:type="spellEnd"/>
    </w:p>
    <w:p w14:paraId="214CA45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14498F0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ngừa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chặn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6501995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đánh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kiến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964CAF2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ACA50B2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VIII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HỢP TÁC QUỐC TẾ VỀ PHÒNG, CHỐNG THAM NHŨNG</w:t>
      </w:r>
    </w:p>
    <w:p w14:paraId="3E86B20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89. Nguyên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chung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tôn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trọng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toàn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vẹn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lãnh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cùng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067953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90.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tế</w:t>
      </w:r>
      <w:proofErr w:type="spellEnd"/>
    </w:p>
    <w:p w14:paraId="30D482C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dựng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hỗ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giúp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tin,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3A9C25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Công an,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29075D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lastRenderedPageBreak/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91.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7B059FD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nguyên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tỏa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hữu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1D1895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yêu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Việt Nam.</w:t>
      </w:r>
    </w:p>
    <w:p w14:paraId="7E8ED32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Thanh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Viện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cao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847655F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IX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XỬ LÝ THAM NHŨNG VÀ HÀNH VI KHÁC VI PHẠM PHÁP LUẬT VỀ PHÒNG, CHỐNG THAM NHŨNG</w:t>
      </w:r>
    </w:p>
    <w:p w14:paraId="7608BE0F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1. XỬ LÝ THAM NHŨNG</w:t>
      </w:r>
    </w:p>
    <w:p w14:paraId="4870296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92.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11F13A4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hưu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E5456F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tùy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498C734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41ED36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góp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phần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hậu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nhẹ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miễn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DA11B7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5.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Tòa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thôi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Quốc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biểu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đồng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8A87B0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lastRenderedPageBreak/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93.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</w:p>
    <w:p w14:paraId="7284959B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Tài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sở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hữu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636C4209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phục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;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4B2E2E4F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Mục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2. XỬ LÝ HÀNH VI KHÁC VI PHẠM PHÁP LUẬT VỀ PHÒNG, CHỐNG THAM NHŨNG</w:t>
      </w:r>
    </w:p>
    <w:p w14:paraId="45B35AC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94.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vị</w:t>
      </w:r>
      <w:proofErr w:type="spellEnd"/>
    </w:p>
    <w:p w14:paraId="0CAE421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những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thuộc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gồm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142B006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a)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minh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50BADC76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b)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tiêu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chuẩn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BA8766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c)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tắc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8D43273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d)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ích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7FA0537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đ)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chuyển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4AF1FC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e)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0D63C308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g)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nghĩa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nguồn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gốc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thêm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473DCF4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h)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soát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29462B5E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a, b, c, d, đ, e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tùy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cứu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trách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nhiệm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sự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gây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phải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bồi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thường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51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03FA74B1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3.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đầu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đơn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xem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xét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tăng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hình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nếu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-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còn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A5B5EFA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lastRenderedPageBreak/>
        <w:t xml:space="preserve">4.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chi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tiết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việc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kỷ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5E576AE5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95.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khác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ngoài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nước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ty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chúng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dụng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xã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do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tướng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trưởng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Nội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Chủ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tịch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Ủy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ban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cấp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tỉnh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lập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hoặc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phê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duyệt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khoản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góp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dân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hoạt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tại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80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tùy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chất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độ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như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sau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:</w:t>
      </w:r>
    </w:p>
    <w:p w14:paraId="5AACB75F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Doanh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chính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;</w:t>
      </w:r>
    </w:p>
    <w:p w14:paraId="2F038BBC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trong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lệ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chế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br/>
        <w:t xml:space="preserve">Trường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hợp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doanh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nghiệp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các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biện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xử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đối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với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người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giữ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danh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chức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vụ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quản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lý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thì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bị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cơ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quan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thẩm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quyền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tra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công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khai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về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tên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chỉ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vi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phạm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quy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định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của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pháp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36146511" w14:textId="77777777" w:rsidR="00E04BCE" w:rsidRPr="00E04BCE" w:rsidRDefault="00E04BCE" w:rsidP="00E04BCE">
      <w:pPr>
        <w:spacing w:after="120" w:line="240" w:lineRule="auto"/>
        <w:jc w:val="center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Chương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X</w:t>
      </w:r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br/>
        <w:t>ĐIỀU KHOẢN THI HÀNH</w:t>
      </w:r>
    </w:p>
    <w:p w14:paraId="477618BD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96. Hiệu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b/>
          <w:bCs/>
          <w:color w:val="2E2E2E"/>
          <w:kern w:val="0"/>
          <w:sz w:val="26"/>
          <w:szCs w:val="26"/>
          <w14:ligatures w14:val="none"/>
        </w:rPr>
        <w:t>hành</w:t>
      </w:r>
      <w:proofErr w:type="spellEnd"/>
    </w:p>
    <w:p w14:paraId="189FE327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1.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tháng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7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năm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2019.</w:t>
      </w:r>
    </w:p>
    <w:p w14:paraId="48DA1680" w14:textId="77777777" w:rsidR="00E04BCE" w:rsidRPr="00E04BCE" w:rsidRDefault="00E04BCE" w:rsidP="00E04BCE">
      <w:pPr>
        <w:spacing w:after="12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2.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Phòng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chống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tham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nhũng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55/2005/QH11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được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sửa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đổi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,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bổ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sung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một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điều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theo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01/2007/QH12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và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số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27/2012/QH13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hết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kể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từ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ngày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Luật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này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có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hiệu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lực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thi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 xml:space="preserve"> </w:t>
      </w:r>
      <w:proofErr w:type="spellStart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hành</w:t>
      </w:r>
      <w:proofErr w:type="spellEnd"/>
      <w:r w:rsidRPr="00E04BCE">
        <w:rPr>
          <w:rFonts w:ascii="Arial" w:eastAsia="Times New Roman" w:hAnsi="Arial" w:cs="Arial"/>
          <w:color w:val="2E2E2E"/>
          <w:kern w:val="0"/>
          <w:sz w:val="26"/>
          <w:szCs w:val="26"/>
          <w14:ligatures w14:val="none"/>
        </w:rPr>
        <w:t>.</w:t>
      </w:r>
    </w:p>
    <w:p w14:paraId="719E0357" w14:textId="77777777" w:rsidR="00E04BCE" w:rsidRPr="00E04BCE" w:rsidRDefault="00E04BCE" w:rsidP="00E04BCE">
      <w:pPr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E04BCE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val="vi-VN"/>
          <w14:ligatures w14:val="none"/>
        </w:rPr>
        <w:t>Luật này được Quốc hội nước Cộng hòa xã hội chủ nghĩa Việt Nam khóa XIV, kỳ họp thứ 6 thông qua ngày 20 tháng 11 năm 2018.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398"/>
      </w:tblGrid>
      <w:tr w:rsidR="00E04BCE" w:rsidRPr="00E04BCE" w14:paraId="4D058AEE" w14:textId="77777777" w:rsidTr="00E04BCE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0E73" w14:textId="77777777" w:rsidR="00E04BCE" w:rsidRPr="00E04BCE" w:rsidRDefault="00E04BCE" w:rsidP="00E04BCE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36B4" w14:textId="77777777" w:rsidR="00E04BCE" w:rsidRPr="00E04BCE" w:rsidRDefault="00E04BCE" w:rsidP="00E04BC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CHỦ TỊCH QUỐC HỘI</w:t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E04BC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vi-VN"/>
                <w14:ligatures w14:val="none"/>
              </w:rPr>
              <w:t>Nguyễn Thị Kim Ngân</w:t>
            </w:r>
          </w:p>
        </w:tc>
      </w:tr>
    </w:tbl>
    <w:p w14:paraId="738C585C" w14:textId="77777777" w:rsidR="00746901" w:rsidRDefault="00746901"/>
    <w:sectPr w:rsidR="0074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CE"/>
    <w:rsid w:val="00746901"/>
    <w:rsid w:val="00E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2548"/>
  <w15:chartTrackingRefBased/>
  <w15:docId w15:val="{E48E719F-EC0F-4C90-B808-56B66FDE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7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91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2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8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7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7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2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1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2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1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2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9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3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2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6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3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9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7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4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4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9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299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8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0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3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5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0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9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5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0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9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8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2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4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5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2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2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5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2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8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6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8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9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6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7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0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2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3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2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1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1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0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0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0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91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3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0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8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4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9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6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8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0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7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0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5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8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3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6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7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6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5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3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2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5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4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8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1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7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5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9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9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9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2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2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3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8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8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7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5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7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6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6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6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5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8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0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1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4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2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3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8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8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7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2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6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8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5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6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5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1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9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1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8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8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4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9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5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3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13556</Words>
  <Characters>77271</Characters>
  <Application>Microsoft Office Word</Application>
  <DocSecurity>0</DocSecurity>
  <Lines>643</Lines>
  <Paragraphs>181</Paragraphs>
  <ScaleCrop>false</ScaleCrop>
  <Company/>
  <LinksUpToDate>false</LinksUpToDate>
  <CharactersWithSpaces>90646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quyenngoc1912@gmail.com</dc:creator>
  <cp:keywords/>
  <dc:description/>
  <cp:lastModifiedBy>quyenngoc1912@gmail.com</cp:lastModifiedBy>
  <cp:revision>1</cp:revision>
  <dcterms:created xsi:type="dcterms:W3CDTF">2024-06-24T14:54:00Z</dcterms:created>
  <dcterms:modified xsi:type="dcterms:W3CDTF">2024-06-24T14:55:00Z</dcterms:modified>
</cp:coreProperties>
</file>